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148" w:rsidRPr="00C43DC9" w:rsidRDefault="00C43DC9">
      <w:pPr>
        <w:tabs>
          <w:tab w:val="left" w:pos="4700"/>
          <w:tab w:val="left" w:pos="5440"/>
        </w:tabs>
        <w:spacing w:after="0" w:line="458" w:lineRule="exact"/>
        <w:ind w:left="3954" w:right="3893"/>
        <w:jc w:val="center"/>
        <w:rPr>
          <w:rFonts w:asciiTheme="minorEastAsia" w:hAnsiTheme="minorEastAsia" w:cs="A-OTF 毎日新聞明朝 Pro L"/>
          <w:sz w:val="36"/>
          <w:szCs w:val="36"/>
        </w:rPr>
      </w:pPr>
      <w:bookmarkStart w:id="0" w:name="_GoBack"/>
      <w:bookmarkEnd w:id="0"/>
      <w:r w:rsidRPr="00C43DC9">
        <w:rPr>
          <w:rFonts w:asciiTheme="minorEastAsia" w:hAnsiTheme="minorEastAsia" w:cs="A-OTF 毎日新聞明朝 Pro L"/>
          <w:position w:val="-4"/>
          <w:sz w:val="36"/>
          <w:szCs w:val="36"/>
        </w:rPr>
        <w:t>同</w:t>
      </w:r>
      <w:r w:rsidRPr="00C43DC9">
        <w:rPr>
          <w:rFonts w:asciiTheme="minorEastAsia" w:hAnsiTheme="minorEastAsia" w:cs="A-OTF 毎日新聞明朝 Pro L"/>
          <w:position w:val="-4"/>
          <w:sz w:val="36"/>
          <w:szCs w:val="36"/>
        </w:rPr>
        <w:tab/>
        <w:t>意</w:t>
      </w:r>
      <w:r w:rsidRPr="00C43DC9">
        <w:rPr>
          <w:rFonts w:asciiTheme="minorEastAsia" w:hAnsiTheme="minorEastAsia" w:cs="A-OTF 毎日新聞明朝 Pro L"/>
          <w:position w:val="-4"/>
          <w:sz w:val="36"/>
          <w:szCs w:val="36"/>
        </w:rPr>
        <w:tab/>
        <w:t>書</w:t>
      </w:r>
    </w:p>
    <w:p w:rsidR="009E2148" w:rsidRDefault="009E2148">
      <w:pPr>
        <w:spacing w:before="5" w:after="0" w:line="70" w:lineRule="exact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1300"/>
        <w:gridCol w:w="3464"/>
        <w:gridCol w:w="1192"/>
        <w:gridCol w:w="3140"/>
      </w:tblGrid>
      <w:tr w:rsidR="009E2148" w:rsidRPr="00C43DC9" w:rsidTr="00162AB8">
        <w:trPr>
          <w:trHeight w:hRule="exact" w:val="878"/>
        </w:trPr>
        <w:tc>
          <w:tcPr>
            <w:tcW w:w="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103" w:right="29"/>
              <w:jc w:val="distribute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被災職員</w:t>
            </w:r>
            <w:proofErr w:type="spellEnd"/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C43DC9" w:rsidP="00C43DC9">
            <w:pPr>
              <w:tabs>
                <w:tab w:val="left" w:pos="860"/>
              </w:tabs>
              <w:adjustRightInd w:val="0"/>
              <w:snapToGrid w:val="0"/>
              <w:spacing w:after="0" w:line="240" w:lineRule="auto"/>
              <w:ind w:left="210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氏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名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46" w:right="-20"/>
              <w:jc w:val="center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認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定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番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号</w:t>
            </w:r>
            <w:proofErr w:type="spellEnd"/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9E2148" w:rsidRPr="00C43DC9" w:rsidTr="00162AB8">
        <w:trPr>
          <w:trHeight w:hRule="exact" w:val="541"/>
        </w:trPr>
        <w:tc>
          <w:tcPr>
            <w:tcW w:w="433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C43DC9" w:rsidP="00C43DC9">
            <w:pPr>
              <w:tabs>
                <w:tab w:val="left" w:pos="860"/>
              </w:tabs>
              <w:adjustRightInd w:val="0"/>
              <w:snapToGrid w:val="0"/>
              <w:spacing w:after="0" w:line="240" w:lineRule="auto"/>
              <w:ind w:left="210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r w:rsidRPr="00C43DC9">
              <w:rPr>
                <w:rFonts w:asciiTheme="minorEastAsia" w:hAnsiTheme="minorEastAsia" w:cs="A-OTF 毎日新聞明朝 Pro L"/>
                <w:position w:val="-2"/>
                <w:sz w:val="21"/>
                <w:szCs w:val="21"/>
              </w:rPr>
              <w:t>住</w:t>
            </w:r>
            <w:r w:rsidRPr="00C43DC9">
              <w:rPr>
                <w:rFonts w:asciiTheme="minorEastAsia" w:hAnsiTheme="minorEastAsia" w:cs="A-OTF 毎日新聞明朝 Pro L"/>
                <w:position w:val="-2"/>
                <w:sz w:val="21"/>
                <w:szCs w:val="21"/>
              </w:rPr>
              <w:tab/>
              <w:t>所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46" w:right="-20"/>
              <w:jc w:val="center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8"/>
                <w:position w:val="-2"/>
                <w:sz w:val="21"/>
                <w:szCs w:val="21"/>
              </w:rPr>
              <w:t>生</w:t>
            </w:r>
            <w:r w:rsidRPr="00C43DC9">
              <w:rPr>
                <w:rFonts w:asciiTheme="minorEastAsia" w:hAnsiTheme="minorEastAsia" w:cs="A-OTF 毎日新聞明朝 Pro L"/>
                <w:spacing w:val="7"/>
                <w:position w:val="-2"/>
                <w:sz w:val="21"/>
                <w:szCs w:val="21"/>
              </w:rPr>
              <w:t>年</w:t>
            </w:r>
            <w:r w:rsidRPr="00C43DC9">
              <w:rPr>
                <w:rFonts w:asciiTheme="minorEastAsia" w:hAnsiTheme="minorEastAsia" w:cs="A-OTF 毎日新聞明朝 Pro L"/>
                <w:spacing w:val="8"/>
                <w:position w:val="-2"/>
                <w:sz w:val="21"/>
                <w:szCs w:val="21"/>
              </w:rPr>
              <w:t>月日</w:t>
            </w:r>
            <w:proofErr w:type="spellEnd"/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9E2148" w:rsidRPr="00C43DC9" w:rsidTr="00162AB8">
        <w:trPr>
          <w:trHeight w:hRule="exact" w:val="814"/>
        </w:trPr>
        <w:tc>
          <w:tcPr>
            <w:tcW w:w="433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101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所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属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部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局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名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9E2148" w:rsidRPr="00C43DC9" w:rsidTr="00C43DC9">
        <w:trPr>
          <w:trHeight w:hRule="exact" w:val="1045"/>
        </w:trPr>
        <w:tc>
          <w:tcPr>
            <w:tcW w:w="17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C43DC9" w:rsidP="00C43DC9">
            <w:pPr>
              <w:tabs>
                <w:tab w:val="left" w:pos="680"/>
                <w:tab w:val="left" w:pos="1220"/>
              </w:tabs>
              <w:adjustRightInd w:val="0"/>
              <w:snapToGrid w:val="0"/>
              <w:spacing w:after="0" w:line="240" w:lineRule="auto"/>
              <w:ind w:left="148" w:right="188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負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傷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又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は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発病</w:t>
            </w:r>
            <w:proofErr w:type="spellEnd"/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 xml:space="preserve"> 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年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月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日</w:t>
            </w:r>
          </w:p>
        </w:tc>
        <w:tc>
          <w:tcPr>
            <w:tcW w:w="7796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9E2148" w:rsidRPr="00C43DC9" w:rsidTr="00C43DC9">
        <w:trPr>
          <w:trHeight w:hRule="exact" w:val="1091"/>
        </w:trPr>
        <w:tc>
          <w:tcPr>
            <w:tcW w:w="1733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C43DC9" w:rsidP="00C43DC9">
            <w:pPr>
              <w:tabs>
                <w:tab w:val="left" w:pos="680"/>
                <w:tab w:val="left" w:pos="1220"/>
              </w:tabs>
              <w:adjustRightInd w:val="0"/>
              <w:snapToGrid w:val="0"/>
              <w:spacing w:after="0" w:line="240" w:lineRule="auto"/>
              <w:ind w:left="148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傷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病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名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9E2148" w:rsidRPr="00C43DC9" w:rsidTr="00C43DC9">
        <w:trPr>
          <w:trHeight w:hRule="exact" w:val="1092"/>
        </w:trPr>
        <w:tc>
          <w:tcPr>
            <w:tcW w:w="1733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148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同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意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し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た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</w:rPr>
              <w:t>理由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9E2148" w:rsidRPr="00C43DC9" w:rsidTr="00C43DC9">
        <w:trPr>
          <w:trHeight w:hRule="exact" w:val="1092"/>
        </w:trPr>
        <w:tc>
          <w:tcPr>
            <w:tcW w:w="1733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148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62"/>
                <w:w w:val="99"/>
                <w:sz w:val="21"/>
                <w:szCs w:val="21"/>
              </w:rPr>
              <w:t>施術</w:t>
            </w:r>
            <w:r w:rsidRPr="00C43DC9">
              <w:rPr>
                <w:rFonts w:asciiTheme="minorEastAsia" w:hAnsiTheme="minorEastAsia" w:cs="A-OTF 毎日新聞明朝 Pro L"/>
                <w:w w:val="99"/>
                <w:sz w:val="21"/>
                <w:szCs w:val="21"/>
              </w:rPr>
              <w:t>の</w:t>
            </w:r>
            <w:proofErr w:type="spellEnd"/>
            <w:r w:rsidRPr="00C43DC9">
              <w:rPr>
                <w:rFonts w:asciiTheme="minorEastAsia" w:hAnsiTheme="minorEastAsia" w:cs="A-OTF 毎日新聞明朝 Pro L"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C43DC9">
              <w:rPr>
                <w:rFonts w:asciiTheme="minorEastAsia" w:hAnsiTheme="minorEastAsia" w:cs="A-OTF 毎日新聞明朝 Pro L"/>
                <w:spacing w:val="62"/>
                <w:w w:val="99"/>
                <w:sz w:val="21"/>
                <w:szCs w:val="21"/>
              </w:rPr>
              <w:t>種</w:t>
            </w:r>
            <w:r w:rsidRPr="00C43DC9">
              <w:rPr>
                <w:rFonts w:asciiTheme="minorEastAsia" w:hAnsiTheme="minorEastAsia" w:cs="A-OTF 毎日新聞明朝 Pro L"/>
                <w:w w:val="99"/>
                <w:sz w:val="21"/>
                <w:szCs w:val="21"/>
              </w:rPr>
              <w:t>類</w:t>
            </w:r>
            <w:proofErr w:type="spellEnd"/>
            <w:r w:rsidRPr="00C43DC9">
              <w:rPr>
                <w:rFonts w:asciiTheme="minorEastAsia" w:hAnsiTheme="minorEastAsia" w:cs="A-OTF 毎日新聞明朝 Pro L"/>
                <w:spacing w:val="-8"/>
                <w:sz w:val="21"/>
                <w:szCs w:val="21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9E2148" w:rsidRPr="00C43DC9" w:rsidRDefault="00C43DC9" w:rsidP="00C43DC9">
            <w:pPr>
              <w:tabs>
                <w:tab w:val="left" w:pos="1780"/>
                <w:tab w:val="left" w:pos="2220"/>
                <w:tab w:val="left" w:pos="2860"/>
                <w:tab w:val="left" w:pos="3300"/>
                <w:tab w:val="left" w:pos="3740"/>
                <w:tab w:val="left" w:pos="4180"/>
                <w:tab w:val="left" w:pos="6560"/>
              </w:tabs>
              <w:adjustRightInd w:val="0"/>
              <w:snapToGrid w:val="0"/>
              <w:spacing w:after="0" w:line="240" w:lineRule="auto"/>
              <w:ind w:left="481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</w:pP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マ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ッ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サー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>ジ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・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は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>り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・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灸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・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そ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の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他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>（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）</w:t>
            </w:r>
          </w:p>
        </w:tc>
      </w:tr>
      <w:tr w:rsidR="009E2148" w:rsidRPr="00C43DC9" w:rsidTr="00C43DC9">
        <w:trPr>
          <w:trHeight w:hRule="exact" w:val="1092"/>
        </w:trPr>
        <w:tc>
          <w:tcPr>
            <w:tcW w:w="1733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148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62"/>
                <w:w w:val="99"/>
                <w:sz w:val="21"/>
                <w:szCs w:val="21"/>
              </w:rPr>
              <w:t>施術</w:t>
            </w:r>
            <w:r w:rsidRPr="00C43DC9">
              <w:rPr>
                <w:rFonts w:asciiTheme="minorEastAsia" w:hAnsiTheme="minorEastAsia" w:cs="A-OTF 毎日新聞明朝 Pro L"/>
                <w:w w:val="99"/>
                <w:sz w:val="21"/>
                <w:szCs w:val="21"/>
              </w:rPr>
              <w:t>の</w:t>
            </w:r>
            <w:proofErr w:type="spellEnd"/>
            <w:r w:rsidRPr="00C43DC9">
              <w:rPr>
                <w:rFonts w:asciiTheme="minorEastAsia" w:hAnsiTheme="minorEastAsia" w:cs="A-OTF 毎日新聞明朝 Pro L"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C43DC9">
              <w:rPr>
                <w:rFonts w:asciiTheme="minorEastAsia" w:hAnsiTheme="minorEastAsia" w:cs="A-OTF 毎日新聞明朝 Pro L"/>
                <w:spacing w:val="62"/>
                <w:w w:val="99"/>
                <w:sz w:val="21"/>
                <w:szCs w:val="21"/>
              </w:rPr>
              <w:t>部</w:t>
            </w:r>
            <w:r w:rsidRPr="00C43DC9">
              <w:rPr>
                <w:rFonts w:asciiTheme="minorEastAsia" w:hAnsiTheme="minorEastAsia" w:cs="A-OTF 毎日新聞明朝 Pro L"/>
                <w:w w:val="99"/>
                <w:sz w:val="21"/>
                <w:szCs w:val="21"/>
              </w:rPr>
              <w:t>位</w:t>
            </w:r>
            <w:proofErr w:type="spellEnd"/>
            <w:r w:rsidRPr="00C43DC9">
              <w:rPr>
                <w:rFonts w:asciiTheme="minorEastAsia" w:hAnsiTheme="minorEastAsia" w:cs="A-OTF 毎日新聞明朝 Pro L"/>
                <w:spacing w:val="-8"/>
                <w:sz w:val="21"/>
                <w:szCs w:val="21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9E2148" w:rsidRPr="00C43DC9" w:rsidRDefault="00C43DC9" w:rsidP="00C43DC9">
            <w:pPr>
              <w:tabs>
                <w:tab w:val="left" w:pos="7280"/>
              </w:tabs>
              <w:adjustRightInd w:val="0"/>
              <w:snapToGrid w:val="0"/>
              <w:spacing w:after="0" w:line="240" w:lineRule="auto"/>
              <w:ind w:left="513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</w:pPr>
            <w:r w:rsidRPr="00C43DC9">
              <w:rPr>
                <w:rFonts w:asciiTheme="minorEastAsia" w:hAnsiTheme="minorEastAsia" w:cs="A-OTF 毎日新聞明朝 Pro L"/>
                <w:spacing w:val="16"/>
                <w:sz w:val="21"/>
                <w:szCs w:val="21"/>
                <w:lang w:eastAsia="ja-JP"/>
              </w:rPr>
              <w:t>左上肢・右上肢・左</w:t>
            </w:r>
            <w:r w:rsidRPr="00C43DC9">
              <w:rPr>
                <w:rFonts w:asciiTheme="minorEastAsia" w:hAnsiTheme="minorEastAsia" w:cs="A-OTF 毎日新聞明朝 Pro L"/>
                <w:spacing w:val="17"/>
                <w:sz w:val="21"/>
                <w:szCs w:val="21"/>
                <w:lang w:eastAsia="ja-JP"/>
              </w:rPr>
              <w:t>下</w:t>
            </w:r>
            <w:r w:rsidRPr="00C43DC9">
              <w:rPr>
                <w:rFonts w:asciiTheme="minorEastAsia" w:hAnsiTheme="minorEastAsia" w:cs="A-OTF 毎日新聞明朝 Pro L"/>
                <w:spacing w:val="16"/>
                <w:sz w:val="21"/>
                <w:szCs w:val="21"/>
                <w:lang w:eastAsia="ja-JP"/>
              </w:rPr>
              <w:t>肢・右下肢・体幹・その他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>（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）</w:t>
            </w:r>
          </w:p>
        </w:tc>
      </w:tr>
      <w:tr w:rsidR="009E2148" w:rsidRPr="00C43DC9" w:rsidTr="00C43DC9">
        <w:trPr>
          <w:trHeight w:hRule="exact" w:val="1092"/>
        </w:trPr>
        <w:tc>
          <w:tcPr>
            <w:tcW w:w="1733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148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62"/>
                <w:w w:val="99"/>
                <w:sz w:val="21"/>
                <w:szCs w:val="21"/>
              </w:rPr>
              <w:t>施術</w:t>
            </w:r>
            <w:r w:rsidRPr="00C43DC9">
              <w:rPr>
                <w:rFonts w:asciiTheme="minorEastAsia" w:hAnsiTheme="minorEastAsia" w:cs="A-OTF 毎日新聞明朝 Pro L"/>
                <w:w w:val="99"/>
                <w:sz w:val="21"/>
                <w:szCs w:val="21"/>
              </w:rPr>
              <w:t>の</w:t>
            </w:r>
            <w:proofErr w:type="spellEnd"/>
            <w:r w:rsidRPr="00C43DC9">
              <w:rPr>
                <w:rFonts w:asciiTheme="minorEastAsia" w:hAnsiTheme="minorEastAsia" w:cs="A-OTF 毎日新聞明朝 Pro L"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C43DC9">
              <w:rPr>
                <w:rFonts w:asciiTheme="minorEastAsia" w:hAnsiTheme="minorEastAsia" w:cs="A-OTF 毎日新聞明朝 Pro L"/>
                <w:spacing w:val="62"/>
                <w:w w:val="99"/>
                <w:sz w:val="21"/>
                <w:szCs w:val="21"/>
              </w:rPr>
              <w:t>期</w:t>
            </w:r>
            <w:r w:rsidRPr="00C43DC9">
              <w:rPr>
                <w:rFonts w:asciiTheme="minorEastAsia" w:hAnsiTheme="minorEastAsia" w:cs="A-OTF 毎日新聞明朝 Pro L"/>
                <w:w w:val="99"/>
                <w:sz w:val="21"/>
                <w:szCs w:val="21"/>
              </w:rPr>
              <w:t>間</w:t>
            </w:r>
            <w:proofErr w:type="spellEnd"/>
            <w:r w:rsidRPr="00C43DC9">
              <w:rPr>
                <w:rFonts w:asciiTheme="minorEastAsia" w:hAnsiTheme="minorEastAsia" w:cs="A-OTF 毎日新聞明朝 Pro L"/>
                <w:spacing w:val="-8"/>
                <w:sz w:val="21"/>
                <w:szCs w:val="21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9E2148" w:rsidRPr="00C43DC9" w:rsidRDefault="00CE2FE7" w:rsidP="00C43DC9">
            <w:pPr>
              <w:tabs>
                <w:tab w:val="left" w:pos="1340"/>
                <w:tab w:val="left" w:pos="2000"/>
                <w:tab w:val="left" w:pos="2640"/>
                <w:tab w:val="left" w:pos="4180"/>
                <w:tab w:val="left" w:pos="4940"/>
                <w:tab w:val="left" w:pos="5580"/>
              </w:tabs>
              <w:adjustRightInd w:val="0"/>
              <w:snapToGrid w:val="0"/>
              <w:spacing w:after="0" w:line="240" w:lineRule="auto"/>
              <w:ind w:left="481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spacing w:val="7"/>
                <w:sz w:val="21"/>
                <w:szCs w:val="21"/>
                <w:lang w:eastAsia="ja-JP"/>
              </w:rPr>
              <w:t>令和</w:t>
            </w:r>
            <w:r w:rsidR="00C43DC9"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年</w:t>
            </w:r>
            <w:r w:rsidR="00C43DC9"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月</w:t>
            </w:r>
            <w:r w:rsidR="00C43DC9"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</w:r>
            <w:r w:rsidR="00C43DC9"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日</w:t>
            </w:r>
            <w:r w:rsidR="00C43DC9"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か</w:t>
            </w:r>
            <w:r w:rsidR="00C43DC9"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ら</w:t>
            </w:r>
            <w:r>
              <w:rPr>
                <w:rFonts w:asciiTheme="minorEastAsia" w:hAnsiTheme="minorEastAsia" w:cs="A-OTF 毎日新聞明朝 Pro L" w:hint="eastAsia"/>
                <w:spacing w:val="8"/>
                <w:sz w:val="21"/>
                <w:szCs w:val="21"/>
                <w:lang w:eastAsia="ja-JP"/>
              </w:rPr>
              <w:t>令和</w:t>
            </w:r>
            <w:r w:rsidR="00C43DC9"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年</w:t>
            </w:r>
            <w:r w:rsidR="00C43DC9"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月</w:t>
            </w:r>
            <w:r w:rsidR="00C43DC9"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</w:r>
            <w:r w:rsidR="00C43DC9"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日</w:t>
            </w:r>
            <w:r w:rsidR="00C43DC9"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ま</w:t>
            </w:r>
            <w:r w:rsidR="00C43DC9"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>で</w:t>
            </w:r>
          </w:p>
        </w:tc>
      </w:tr>
      <w:tr w:rsidR="009E2148" w:rsidRPr="00C43DC9" w:rsidTr="00C43DC9">
        <w:trPr>
          <w:trHeight w:hRule="exact" w:val="1092"/>
        </w:trPr>
        <w:tc>
          <w:tcPr>
            <w:tcW w:w="1733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148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</w:pP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施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術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者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の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名称</w:t>
            </w:r>
          </w:p>
          <w:p w:rsidR="009E2148" w:rsidRPr="00C43DC9" w:rsidRDefault="00C43DC9" w:rsidP="00C43DC9">
            <w:pPr>
              <w:tabs>
                <w:tab w:val="left" w:pos="780"/>
                <w:tab w:val="left" w:pos="1220"/>
              </w:tabs>
              <w:adjustRightInd w:val="0"/>
              <w:snapToGrid w:val="0"/>
              <w:spacing w:after="0" w:line="240" w:lineRule="auto"/>
              <w:ind w:left="148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</w:pPr>
            <w:r w:rsidRPr="00C43DC9">
              <w:rPr>
                <w:rFonts w:asciiTheme="minorEastAsia" w:hAnsiTheme="minorEastAsia" w:cs="A-OTF 毎日新聞明朝 Pro L"/>
                <w:spacing w:val="8"/>
                <w:position w:val="-2"/>
                <w:sz w:val="21"/>
                <w:szCs w:val="21"/>
                <w:lang w:eastAsia="ja-JP"/>
              </w:rPr>
              <w:t>・</w:t>
            </w:r>
            <w:r w:rsidRPr="00C43DC9">
              <w:rPr>
                <w:rFonts w:asciiTheme="minorEastAsia" w:hAnsiTheme="minorEastAsia" w:cs="A-OTF 毎日新聞明朝 Pro L"/>
                <w:position w:val="-2"/>
                <w:sz w:val="21"/>
                <w:szCs w:val="21"/>
                <w:lang w:eastAsia="ja-JP"/>
              </w:rPr>
              <w:t>所</w:t>
            </w:r>
            <w:r w:rsidRPr="00C43DC9">
              <w:rPr>
                <w:rFonts w:asciiTheme="minorEastAsia" w:hAnsiTheme="minorEastAsia" w:cs="A-OTF 毎日新聞明朝 Pro L"/>
                <w:position w:val="-2"/>
                <w:sz w:val="21"/>
                <w:szCs w:val="21"/>
                <w:lang w:eastAsia="ja-JP"/>
              </w:rPr>
              <w:tab/>
              <w:t>在</w:t>
            </w:r>
            <w:r w:rsidRPr="00C43DC9">
              <w:rPr>
                <w:rFonts w:asciiTheme="minorEastAsia" w:hAnsiTheme="minorEastAsia" w:cs="A-OTF 毎日新聞明朝 Pro L"/>
                <w:position w:val="-2"/>
                <w:sz w:val="21"/>
                <w:szCs w:val="21"/>
                <w:lang w:eastAsia="ja-JP"/>
              </w:rPr>
              <w:tab/>
              <w:t>地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9E2148" w:rsidRPr="00C43DC9" w:rsidTr="00C43DC9">
        <w:trPr>
          <w:trHeight w:hRule="exact" w:val="3640"/>
        </w:trPr>
        <w:tc>
          <w:tcPr>
            <w:tcW w:w="9529" w:type="dxa"/>
            <w:gridSpan w:val="5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9E2148" w:rsidRPr="00C43DC9" w:rsidRDefault="00C43DC9" w:rsidP="00C43DC9">
            <w:pPr>
              <w:tabs>
                <w:tab w:val="left" w:pos="1560"/>
                <w:tab w:val="left" w:pos="2420"/>
                <w:tab w:val="left" w:pos="3180"/>
              </w:tabs>
              <w:adjustRightInd w:val="0"/>
              <w:snapToGrid w:val="0"/>
              <w:spacing w:after="0" w:line="480" w:lineRule="auto"/>
              <w:ind w:left="698" w:right="2642" w:hanging="437"/>
              <w:jc w:val="both"/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</w:pP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頭書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の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患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者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に関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し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，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上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記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の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とお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り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施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術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を受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け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る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こ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と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に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同意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し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ま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す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 xml:space="preserve">。 </w:t>
            </w:r>
            <w:r w:rsidR="00CE2FE7">
              <w:rPr>
                <w:rFonts w:asciiTheme="minorEastAsia" w:hAnsiTheme="minorEastAsia" w:cs="A-OTF 毎日新聞明朝 Pro L" w:hint="eastAsia"/>
                <w:spacing w:val="8"/>
                <w:sz w:val="21"/>
                <w:szCs w:val="21"/>
                <w:lang w:eastAsia="ja-JP"/>
              </w:rPr>
              <w:t>令和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年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月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ab/>
              <w:t>日</w:t>
            </w:r>
          </w:p>
          <w:p w:rsidR="009E2148" w:rsidRPr="00C43DC9" w:rsidRDefault="00C43DC9" w:rsidP="00C43DC9">
            <w:pPr>
              <w:adjustRightInd w:val="0"/>
              <w:snapToGrid w:val="0"/>
              <w:spacing w:after="0" w:line="240" w:lineRule="auto"/>
              <w:ind w:left="4358" w:right="3319"/>
              <w:jc w:val="both"/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</w:pP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医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療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機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関</w:t>
            </w:r>
            <w:r w:rsidRPr="00C43DC9">
              <w:rPr>
                <w:rFonts w:asciiTheme="minorEastAsia" w:hAnsiTheme="minorEastAsia" w:cs="A-OTF 毎日新聞明朝 Pro L"/>
                <w:spacing w:val="8"/>
                <w:sz w:val="21"/>
                <w:szCs w:val="21"/>
                <w:lang w:eastAsia="ja-JP"/>
              </w:rPr>
              <w:t>の</w:t>
            </w:r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  <w:lang w:eastAsia="ja-JP"/>
              </w:rPr>
              <w:t>所在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  <w:lang w:eastAsia="ja-JP"/>
              </w:rPr>
              <w:t>地</w:t>
            </w:r>
          </w:p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5"/>
                <w:szCs w:val="15"/>
                <w:lang w:eastAsia="ja-JP"/>
              </w:rPr>
            </w:pPr>
          </w:p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E2148" w:rsidRPr="00C43DC9" w:rsidRDefault="00C43DC9" w:rsidP="00C43DC9">
            <w:pPr>
              <w:tabs>
                <w:tab w:val="left" w:pos="5880"/>
              </w:tabs>
              <w:adjustRightInd w:val="0"/>
              <w:snapToGrid w:val="0"/>
              <w:spacing w:after="0" w:line="240" w:lineRule="auto"/>
              <w:ind w:left="5447" w:right="3319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名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称</w:t>
            </w:r>
          </w:p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15"/>
                <w:szCs w:val="15"/>
              </w:rPr>
            </w:pPr>
          </w:p>
          <w:p w:rsidR="009E2148" w:rsidRPr="00C43DC9" w:rsidRDefault="009E2148" w:rsidP="00C43DC9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9E2148" w:rsidRPr="00C43DC9" w:rsidRDefault="00C43DC9" w:rsidP="00CE2FE7">
            <w:pPr>
              <w:tabs>
                <w:tab w:val="left" w:pos="8740"/>
              </w:tabs>
              <w:adjustRightInd w:val="0"/>
              <w:snapToGrid w:val="0"/>
              <w:spacing w:after="0" w:line="240" w:lineRule="auto"/>
              <w:ind w:left="5483" w:right="-20"/>
              <w:jc w:val="both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proofErr w:type="spellStart"/>
            <w:r w:rsidRPr="00C43DC9">
              <w:rPr>
                <w:rFonts w:asciiTheme="minorEastAsia" w:hAnsiTheme="minorEastAsia" w:cs="A-OTF 毎日新聞明朝 Pro L"/>
                <w:spacing w:val="7"/>
                <w:sz w:val="21"/>
                <w:szCs w:val="21"/>
              </w:rPr>
              <w:t>医師</w:t>
            </w:r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>名</w:t>
            </w:r>
            <w:proofErr w:type="spellEnd"/>
            <w:r w:rsidRPr="00C43DC9">
              <w:rPr>
                <w:rFonts w:asciiTheme="minorEastAsia" w:hAnsiTheme="minorEastAsia" w:cs="A-OTF 毎日新聞明朝 Pro L"/>
                <w:sz w:val="21"/>
                <w:szCs w:val="21"/>
              </w:rPr>
              <w:tab/>
            </w:r>
          </w:p>
        </w:tc>
      </w:tr>
    </w:tbl>
    <w:p w:rsidR="009E2148" w:rsidRPr="00C43DC9" w:rsidRDefault="00C43DC9">
      <w:pPr>
        <w:spacing w:after="0" w:line="288" w:lineRule="exact"/>
        <w:ind w:left="114" w:right="-20"/>
        <w:rPr>
          <w:rFonts w:asciiTheme="minorEastAsia" w:hAnsiTheme="minorEastAsia" w:cs="A-OTF 毎日新聞明朝 Pro L"/>
          <w:sz w:val="21"/>
          <w:szCs w:val="21"/>
          <w:lang w:eastAsia="ja-JP"/>
        </w:rPr>
      </w:pPr>
      <w:r w:rsidRPr="00C43DC9">
        <w:rPr>
          <w:rFonts w:asciiTheme="minorEastAsia" w:hAnsiTheme="minorEastAsia" w:cs="A-OTF 毎日新聞明朝 Pro L"/>
          <w:spacing w:val="32"/>
          <w:w w:val="99"/>
          <w:position w:val="-1"/>
          <w:sz w:val="21"/>
          <w:szCs w:val="21"/>
          <w:lang w:eastAsia="ja-JP"/>
        </w:rPr>
        <w:t>（</w:t>
      </w:r>
      <w:r w:rsidRPr="00C43DC9">
        <w:rPr>
          <w:rFonts w:asciiTheme="minorEastAsia" w:hAnsiTheme="minorEastAsia" w:cs="A-OTF 毎日新聞明朝 Pro L"/>
          <w:w w:val="99"/>
          <w:position w:val="-1"/>
          <w:sz w:val="21"/>
          <w:szCs w:val="21"/>
          <w:lang w:eastAsia="ja-JP"/>
        </w:rPr>
        <w:t>注</w:t>
      </w:r>
      <w:r w:rsidRPr="00C43DC9">
        <w:rPr>
          <w:rFonts w:asciiTheme="minorEastAsia" w:hAnsiTheme="minorEastAsia" w:cs="A-OTF 毎日新聞明朝 Pro L"/>
          <w:spacing w:val="-39"/>
          <w:position w:val="-1"/>
          <w:sz w:val="21"/>
          <w:szCs w:val="21"/>
          <w:lang w:eastAsia="ja-JP"/>
        </w:rPr>
        <w:t xml:space="preserve"> </w:t>
      </w:r>
      <w:r w:rsidRPr="00C43DC9">
        <w:rPr>
          <w:rFonts w:asciiTheme="minorEastAsia" w:hAnsiTheme="minorEastAsia" w:cs="A-OTF 毎日新聞明朝 Pro L"/>
          <w:spacing w:val="32"/>
          <w:w w:val="99"/>
          <w:position w:val="-1"/>
          <w:sz w:val="21"/>
          <w:szCs w:val="21"/>
          <w:lang w:eastAsia="ja-JP"/>
        </w:rPr>
        <w:t>）太枠内</w:t>
      </w:r>
      <w:r w:rsidRPr="00C43DC9">
        <w:rPr>
          <w:rFonts w:asciiTheme="minorEastAsia" w:hAnsiTheme="minorEastAsia" w:cs="A-OTF 毎日新聞明朝 Pro L"/>
          <w:w w:val="99"/>
          <w:position w:val="-1"/>
          <w:sz w:val="21"/>
          <w:szCs w:val="21"/>
          <w:lang w:eastAsia="ja-JP"/>
        </w:rPr>
        <w:t>は</w:t>
      </w:r>
      <w:r w:rsidRPr="00C43DC9">
        <w:rPr>
          <w:rFonts w:asciiTheme="minorEastAsia" w:hAnsiTheme="minorEastAsia" w:cs="A-OTF 毎日新聞明朝 Pro L"/>
          <w:spacing w:val="-39"/>
          <w:position w:val="-1"/>
          <w:sz w:val="21"/>
          <w:szCs w:val="21"/>
          <w:lang w:eastAsia="ja-JP"/>
        </w:rPr>
        <w:t xml:space="preserve"> </w:t>
      </w:r>
      <w:r w:rsidRPr="00C43DC9">
        <w:rPr>
          <w:rFonts w:asciiTheme="minorEastAsia" w:hAnsiTheme="minorEastAsia" w:cs="A-OTF 毎日新聞明朝 Pro L"/>
          <w:spacing w:val="32"/>
          <w:w w:val="99"/>
          <w:position w:val="-1"/>
          <w:sz w:val="21"/>
          <w:szCs w:val="21"/>
          <w:lang w:eastAsia="ja-JP"/>
        </w:rPr>
        <w:t>医療機関</w:t>
      </w:r>
      <w:r w:rsidRPr="00C43DC9">
        <w:rPr>
          <w:rFonts w:asciiTheme="minorEastAsia" w:hAnsiTheme="minorEastAsia" w:cs="A-OTF 毎日新聞明朝 Pro L"/>
          <w:w w:val="99"/>
          <w:position w:val="-1"/>
          <w:sz w:val="21"/>
          <w:szCs w:val="21"/>
          <w:lang w:eastAsia="ja-JP"/>
        </w:rPr>
        <w:t>が</w:t>
      </w:r>
      <w:r w:rsidRPr="00C43DC9">
        <w:rPr>
          <w:rFonts w:asciiTheme="minorEastAsia" w:hAnsiTheme="minorEastAsia" w:cs="A-OTF 毎日新聞明朝 Pro L"/>
          <w:spacing w:val="-39"/>
          <w:position w:val="-1"/>
          <w:sz w:val="21"/>
          <w:szCs w:val="21"/>
          <w:lang w:eastAsia="ja-JP"/>
        </w:rPr>
        <w:t xml:space="preserve"> </w:t>
      </w:r>
      <w:r w:rsidRPr="00C43DC9">
        <w:rPr>
          <w:rFonts w:asciiTheme="minorEastAsia" w:hAnsiTheme="minorEastAsia" w:cs="A-OTF 毎日新聞明朝 Pro L"/>
          <w:spacing w:val="32"/>
          <w:w w:val="99"/>
          <w:position w:val="-1"/>
          <w:sz w:val="21"/>
          <w:szCs w:val="21"/>
          <w:lang w:eastAsia="ja-JP"/>
        </w:rPr>
        <w:t>記載し</w:t>
      </w:r>
      <w:r w:rsidRPr="00C43DC9">
        <w:rPr>
          <w:rFonts w:asciiTheme="minorEastAsia" w:hAnsiTheme="minorEastAsia" w:cs="A-OTF 毎日新聞明朝 Pro L"/>
          <w:w w:val="99"/>
          <w:position w:val="-1"/>
          <w:sz w:val="21"/>
          <w:szCs w:val="21"/>
          <w:lang w:eastAsia="ja-JP"/>
        </w:rPr>
        <w:t>て</w:t>
      </w:r>
      <w:r w:rsidRPr="00C43DC9">
        <w:rPr>
          <w:rFonts w:asciiTheme="minorEastAsia" w:hAnsiTheme="minorEastAsia" w:cs="A-OTF 毎日新聞明朝 Pro L"/>
          <w:spacing w:val="-39"/>
          <w:position w:val="-1"/>
          <w:sz w:val="21"/>
          <w:szCs w:val="21"/>
          <w:lang w:eastAsia="ja-JP"/>
        </w:rPr>
        <w:t xml:space="preserve"> </w:t>
      </w:r>
      <w:r w:rsidRPr="00C43DC9">
        <w:rPr>
          <w:rFonts w:asciiTheme="minorEastAsia" w:hAnsiTheme="minorEastAsia" w:cs="A-OTF 毎日新聞明朝 Pro L"/>
          <w:spacing w:val="32"/>
          <w:w w:val="99"/>
          <w:position w:val="-1"/>
          <w:sz w:val="21"/>
          <w:szCs w:val="21"/>
          <w:lang w:eastAsia="ja-JP"/>
        </w:rPr>
        <w:t>ください</w:t>
      </w:r>
      <w:r w:rsidRPr="00C43DC9">
        <w:rPr>
          <w:rFonts w:asciiTheme="minorEastAsia" w:hAnsiTheme="minorEastAsia" w:cs="A-OTF 毎日新聞明朝 Pro L"/>
          <w:w w:val="99"/>
          <w:position w:val="-1"/>
          <w:sz w:val="21"/>
          <w:szCs w:val="21"/>
          <w:lang w:eastAsia="ja-JP"/>
        </w:rPr>
        <w:t>。</w:t>
      </w:r>
      <w:r w:rsidRPr="00C43DC9">
        <w:rPr>
          <w:rFonts w:asciiTheme="minorEastAsia" w:hAnsiTheme="minorEastAsia" w:cs="A-OTF 毎日新聞明朝 Pro L"/>
          <w:spacing w:val="-38"/>
          <w:position w:val="-1"/>
          <w:sz w:val="21"/>
          <w:szCs w:val="21"/>
          <w:lang w:eastAsia="ja-JP"/>
        </w:rPr>
        <w:t xml:space="preserve"> </w:t>
      </w:r>
    </w:p>
    <w:sectPr w:rsidR="009E2148" w:rsidRPr="00C43DC9">
      <w:type w:val="continuous"/>
      <w:pgSz w:w="11920" w:h="16840"/>
      <w:pgMar w:top="110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12E" w:rsidRDefault="00B8512E" w:rsidP="00C43DC9">
      <w:pPr>
        <w:spacing w:after="0" w:line="240" w:lineRule="auto"/>
      </w:pPr>
      <w:r>
        <w:separator/>
      </w:r>
    </w:p>
  </w:endnote>
  <w:endnote w:type="continuationSeparator" w:id="0">
    <w:p w:rsidR="00B8512E" w:rsidRDefault="00B8512E" w:rsidP="00C4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毎日新聞明朝 Pro 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12E" w:rsidRDefault="00B8512E" w:rsidP="00C43DC9">
      <w:pPr>
        <w:spacing w:after="0" w:line="240" w:lineRule="auto"/>
      </w:pPr>
      <w:r>
        <w:separator/>
      </w:r>
    </w:p>
  </w:footnote>
  <w:footnote w:type="continuationSeparator" w:id="0">
    <w:p w:rsidR="00B8512E" w:rsidRDefault="00B8512E" w:rsidP="00C43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148"/>
    <w:rsid w:val="00162AB8"/>
    <w:rsid w:val="009521BE"/>
    <w:rsid w:val="009E2148"/>
    <w:rsid w:val="00B8512E"/>
    <w:rsid w:val="00C43DC9"/>
    <w:rsid w:val="00C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DC9"/>
  </w:style>
  <w:style w:type="paragraph" w:styleId="a5">
    <w:name w:val="footer"/>
    <w:basedOn w:val="a"/>
    <w:link w:val="a6"/>
    <w:uiPriority w:val="99"/>
    <w:unhideWhenUsed/>
    <w:rsid w:val="00C4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2024-12-17T02:27:00Z</dcterms:created>
  <dcterms:modified xsi:type="dcterms:W3CDTF">2024-12-17T02:27:00Z</dcterms:modified>
</cp:coreProperties>
</file>